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127"/>
        <w:gridCol w:w="992"/>
        <w:gridCol w:w="283"/>
        <w:gridCol w:w="1873"/>
        <w:gridCol w:w="1680"/>
        <w:gridCol w:w="1049"/>
        <w:gridCol w:w="2628"/>
        <w:gridCol w:w="248"/>
      </w:tblGrid>
      <w:tr w:rsidR="003A733C" w:rsidRPr="003A733C" w:rsidTr="003A733C">
        <w:trPr>
          <w:trHeight w:val="255"/>
        </w:trPr>
        <w:tc>
          <w:tcPr>
            <w:tcW w:w="212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Level</w:t>
            </w:r>
          </w:p>
        </w:tc>
        <w:tc>
          <w:tcPr>
            <w:tcW w:w="992"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873"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Kabupaten Sarmi</w:t>
            </w:r>
          </w:p>
        </w:tc>
        <w:tc>
          <w:tcPr>
            <w:tcW w:w="1680"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04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262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r>
      <w:tr w:rsidR="003A733C" w:rsidRPr="003A733C" w:rsidTr="003A733C">
        <w:trPr>
          <w:trHeight w:val="255"/>
        </w:trPr>
        <w:tc>
          <w:tcPr>
            <w:tcW w:w="3119"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3553"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D. Kapasitas masyarakat Adat</w:t>
            </w:r>
          </w:p>
        </w:tc>
        <w:tc>
          <w:tcPr>
            <w:tcW w:w="104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262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r>
      <w:tr w:rsidR="003A733C" w:rsidRPr="003A733C" w:rsidTr="003A733C">
        <w:trPr>
          <w:trHeight w:val="255"/>
        </w:trPr>
        <w:tc>
          <w:tcPr>
            <w:tcW w:w="212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873"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04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262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r>
      <w:tr w:rsidR="003A733C" w:rsidRPr="003A733C" w:rsidTr="003A733C">
        <w:trPr>
          <w:trHeight w:val="255"/>
        </w:trPr>
        <w:tc>
          <w:tcPr>
            <w:tcW w:w="3402"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Isu dalam PGA REDD+</w:t>
            </w:r>
          </w:p>
        </w:tc>
        <w:tc>
          <w:tcPr>
            <w:tcW w:w="7230" w:type="dxa"/>
            <w:gridSpan w:val="4"/>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660"/>
        </w:trPr>
        <w:tc>
          <w:tcPr>
            <w:tcW w:w="212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992"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3A733C" w:rsidRPr="003A733C" w:rsidTr="003A733C">
        <w:trPr>
          <w:trHeight w:val="255"/>
        </w:trPr>
        <w:tc>
          <w:tcPr>
            <w:tcW w:w="3119"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7230" w:type="dxa"/>
            <w:gridSpan w:val="4"/>
            <w:tcBorders>
              <w:top w:val="nil"/>
              <w:left w:val="nil"/>
              <w:bottom w:val="nil"/>
              <w:right w:val="nil"/>
            </w:tcBorders>
            <w:shd w:val="clear" w:color="auto" w:fill="auto"/>
            <w:noWrap/>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456"/>
        <w:gridCol w:w="1607"/>
        <w:gridCol w:w="1128"/>
        <w:gridCol w:w="1574"/>
        <w:gridCol w:w="1068"/>
        <w:gridCol w:w="1531"/>
        <w:gridCol w:w="1382"/>
      </w:tblGrid>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77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DIa1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Kehutanan</w:t>
            </w: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menunjukkan jumlah aktivis masyarakat adat/lokal yang mempunyai data memperjuangkan aspirasi masyarakatnya dalam forum perencanaan hutan dan wilayah</w:t>
            </w:r>
          </w:p>
        </w:tc>
        <w:tc>
          <w:tcPr>
            <w:tcW w:w="1068" w:type="dxa"/>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Tidak ada Plihan dalam kategori data. Belum ada informasi serta belum ada perda maupun renstra terkait perencanaan hutan dan wilayah di Sarmi</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2040"/>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PU</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menunjukkan jumlah aktivis masyarakat adat/lokal yang mempunyai data memperjuangkan aspirasi masyarakatnya dalam forum perencanaan hutan dan wilayah</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kurang memadai karena mengenai aktivis masyarakat, hanya kepala kampung saja yang menangani berkaitan hutan dan wilayah dibantu oleh anggota masyarakat adat</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LSM</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2040"/>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menunjukkan jumlah aktivis masyarakat adat/lokal yang mempunyai data memperjuangkan aspirasi masyarakatnya dalam forum perencanaan hutan dan wilayah</w:t>
            </w:r>
          </w:p>
        </w:tc>
        <w:tc>
          <w:tcPr>
            <w:tcW w:w="1068" w:type="dxa"/>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Pengurus/Anggota masyarakat adat kurang aktif karena ketidakmampuan dalam perencanaan wilayah</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040"/>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Jurnalis</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menunjukkan jumlah aktivis masyarakat adat/lokal yang mempunyai data memperjuangkan aspirasi masyarakatnya dalam forum perencanaan hutan dan wilayah</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Kurang memadai terkait data dalam perencanaan hutan dan wilayah</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DIa2</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Kehutanan</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materi yang disampaikan dalam pertemuan pembahasan perencanaan hutan dan wilayah</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Tidak ada Plihan dalam kategori data. Belum ada informasi serta belum ada perda maupun renstra terkait perencanaan hutan dan wilayah di Sarmi</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127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PU</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materi yang disampaikan dalam pertemuan pembahasan perencanaan hutan dan wilayah</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 Tidak memadai karena masyarakat adat tidak paham tentang perencanaan wilayah dan kehutanan</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25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LSM</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127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materi yang disampaikan dalam pertemuan pembahasan perencanaan hutan dan wilayah</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Kurang pengetahuan tentang perencanaan hutan dan wilayah</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127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Jurnalis</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Tidak ada dokumen berkaitan dengan materi yang disampaikan dalam pertemuan pembahasan perencanaan hutan dan </w:t>
            </w:r>
            <w:r w:rsidRPr="003A733C">
              <w:rPr>
                <w:rFonts w:ascii="Times New Roman" w:eastAsia="Times New Roman" w:hAnsi="Times New Roman" w:cs="Times New Roman"/>
                <w:color w:val="000000"/>
                <w:sz w:val="20"/>
                <w:szCs w:val="20"/>
                <w:lang w:eastAsia="id-ID"/>
              </w:rPr>
              <w:lastRenderedPageBreak/>
              <w:t>wilayah</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informasi tentang pertemuan perencanaan hutan dan wilayah di sarmi</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r>
      <w:tr w:rsidR="003A733C" w:rsidRPr="003A733C" w:rsidTr="003A733C">
        <w:trPr>
          <w:trHeight w:val="73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6683" w:type="dxa"/>
            <w:gridSpan w:val="5"/>
            <w:tcBorders>
              <w:top w:val="nil"/>
              <w:left w:val="nil"/>
              <w:bottom w:val="single" w:sz="4" w:space="0" w:color="auto"/>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DIb1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Anda mengetahui perbedaan antara kawasan lindung dan kawasan budidaya?</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068"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Kawasan lindung, yang dilindungi oleh pemerintah sedangkan kawasan budidaya, lokasi yang diberikan untuk dikelola.</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DIb2</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Anda mengetahui mengenai status kawasannya dalam perenca-naan wilayah?</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068"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Hanya sebatas informasi bahwa termasuk daerah yang dikelola oleh pemerintah</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r>
      <w:tr w:rsidR="003A733C" w:rsidRPr="003A733C" w:rsidTr="003A733C">
        <w:trPr>
          <w:trHeight w:val="630"/>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3A733C">
              <w:rPr>
                <w:rFonts w:ascii="Times New Roman" w:eastAsia="Times New Roman" w:hAnsi="Times New Roman" w:cs="Times New Roman"/>
                <w:b/>
                <w:bCs/>
                <w:color w:val="000000"/>
                <w:sz w:val="20"/>
                <w:szCs w:val="20"/>
                <w:lang w:eastAsia="id-ID"/>
              </w:rPr>
              <w:br/>
            </w:r>
            <w:r w:rsidRPr="003A733C">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DIc1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LSM</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1740"/>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dokumen yang digunakan dalam pertimbangan memilih wakil dalam pertemuan tentang perencanaan wilayah dan kehutanan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Perempuan tidak dilibatkan dalam kepengurusan masyarakat adat dan yang mewakili dalam pertemuan yang dilaksanakan pemerintah biasanya diwakili oleh kepala kampung.</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2</w:t>
            </w:r>
          </w:p>
        </w:tc>
      </w:tr>
      <w:tr w:rsidR="003A733C" w:rsidRPr="003A733C" w:rsidTr="003A733C">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DIc2</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Mekanisme pemilihan </w:t>
            </w:r>
            <w:r w:rsidRPr="003A733C">
              <w:rPr>
                <w:rFonts w:ascii="Times New Roman" w:eastAsia="Times New Roman" w:hAnsi="Times New Roman" w:cs="Times New Roman"/>
                <w:color w:val="000000"/>
                <w:sz w:val="20"/>
                <w:szCs w:val="20"/>
                <w:lang w:eastAsia="id-ID"/>
              </w:rPr>
              <w:lastRenderedPageBreak/>
              <w:t>wakil</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 xml:space="preserve">Apakah mekanisme </w:t>
            </w:r>
            <w:r w:rsidRPr="003A733C">
              <w:rPr>
                <w:rFonts w:ascii="Times New Roman" w:eastAsia="Times New Roman" w:hAnsi="Times New Roman" w:cs="Times New Roman"/>
                <w:color w:val="000000"/>
                <w:sz w:val="20"/>
                <w:szCs w:val="20"/>
                <w:lang w:eastAsia="id-ID"/>
              </w:rPr>
              <w:lastRenderedPageBreak/>
              <w:t>pemilihan wakil dalam  pertemuan tentang perenca-naan wilayah dan kehutanan sudah memadai?</w:t>
            </w: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lastRenderedPageBreak/>
              <w:t>LSM</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247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terkait mekanisme pemilihan wakil dalam pertemuan tentang perencanaan wilayah dan kehutanan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biasanya diwakili oleh kepala kampung dalam setiap kegiatan yang berkaitan dengan pertemuan terutama berkaitan dengan hak ulayat adat, nanti setelah itu kepala kampung yang menyampaikan hasil dari pertemuan tersebut ke masyarakatnya</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DIc3</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Forum pemilihan wakil</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LSM</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LSM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1650"/>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terkait dengan forum dalam memilih wakil untuk pertemuan tentang perencanaan wilayah dan kehutanan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Pemilihan wakil dalam tiap pertemuan langsung ditangani atau diwakili oleh kepala kampung</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r>
      <w:tr w:rsidR="003A733C" w:rsidRPr="003A733C" w:rsidTr="003A733C">
        <w:trPr>
          <w:trHeight w:val="690"/>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3770" w:type="dxa"/>
            <w:gridSpan w:val="3"/>
            <w:tcBorders>
              <w:top w:val="nil"/>
              <w:left w:val="nil"/>
              <w:bottom w:val="nil"/>
              <w:right w:val="nil"/>
            </w:tcBorders>
            <w:shd w:val="clear" w:color="auto" w:fill="auto"/>
            <w:noWrap/>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Pengurus/Anggota Masyarakat Adat/Lokal</w:t>
            </w:r>
            <w:r w:rsidRPr="003A733C">
              <w:rPr>
                <w:rFonts w:ascii="Times New Roman" w:eastAsia="Times New Roman" w:hAnsi="Times New Roman" w:cs="Times New Roman"/>
                <w:b/>
                <w:bCs/>
                <w:color w:val="000000"/>
                <w:sz w:val="20"/>
                <w:szCs w:val="20"/>
                <w:lang w:eastAsia="id-ID"/>
              </w:rPr>
              <w:br/>
            </w:r>
            <w:r w:rsidRPr="003A733C">
              <w:rPr>
                <w:rFonts w:ascii="Times New Roman" w:eastAsia="Times New Roman" w:hAnsi="Times New Roman" w:cs="Times New Roman"/>
                <w:b/>
                <w:bCs/>
                <w:color w:val="000000"/>
                <w:sz w:val="20"/>
                <w:szCs w:val="20"/>
                <w:lang w:eastAsia="id-ID"/>
              </w:rPr>
              <w:br/>
            </w:r>
          </w:p>
        </w:tc>
        <w:tc>
          <w:tcPr>
            <w:tcW w:w="1531"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92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DId1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Prosedur penyampaian hasil atau proses partisipasi</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mekanisme pelaporan mengatur prosedur penyampaian hasil atau proses partisipasi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Umumnya setelah pertemuan di tempat tersebut disampaikan kembali ke masyarakat terkait hasil dari pertemuan itu dengan jalan mengumpulkan masyarakat di balai kampung</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3</w:t>
            </w:r>
          </w:p>
        </w:tc>
      </w:tr>
      <w:tr w:rsidR="003A733C" w:rsidRPr="003A733C" w:rsidTr="003A733C">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DId2</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(Standarisasi) Isi laporan hasil atau proses partisipasi</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Apakah mekanisme pelaporan me-ngatur strandarisasi Isi </w:t>
            </w:r>
            <w:r w:rsidRPr="003A733C">
              <w:rPr>
                <w:rFonts w:ascii="Times New Roman" w:eastAsia="Times New Roman" w:hAnsi="Times New Roman" w:cs="Times New Roman"/>
                <w:color w:val="000000"/>
                <w:sz w:val="20"/>
                <w:szCs w:val="20"/>
                <w:lang w:eastAsia="id-ID"/>
              </w:rPr>
              <w:lastRenderedPageBreak/>
              <w:t>laporan hasil atau proses partisipasi?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tidak ada dokumen mekanisme pelaporan mengatur </w:t>
            </w:r>
            <w:r w:rsidRPr="003A733C">
              <w:rPr>
                <w:rFonts w:ascii="Times New Roman" w:eastAsia="Times New Roman" w:hAnsi="Times New Roman" w:cs="Times New Roman"/>
                <w:color w:val="000000"/>
                <w:sz w:val="20"/>
                <w:szCs w:val="20"/>
                <w:lang w:eastAsia="id-ID"/>
              </w:rPr>
              <w:lastRenderedPageBreak/>
              <w:t xml:space="preserve">standarisasi isi laporan hasil atau proses partisipasi </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Hanya disampaikan secara lisan kepada masyarakat </w:t>
            </w:r>
            <w:r w:rsidRPr="003A733C">
              <w:rPr>
                <w:rFonts w:ascii="Times New Roman" w:eastAsia="Times New Roman" w:hAnsi="Times New Roman" w:cs="Times New Roman"/>
                <w:color w:val="000000"/>
                <w:sz w:val="20"/>
                <w:szCs w:val="20"/>
                <w:lang w:eastAsia="id-ID"/>
              </w:rPr>
              <w:lastRenderedPageBreak/>
              <w:t>yang telah dikumpulkan di balai kampung</w:t>
            </w:r>
          </w:p>
        </w:tc>
        <w:tc>
          <w:tcPr>
            <w:tcW w:w="1382"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3</w:t>
            </w:r>
          </w:p>
        </w:tc>
      </w:tr>
      <w:tr w:rsidR="003A733C" w:rsidRPr="003A733C" w:rsidTr="003A733C">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DId3</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Forum penyampaian hasil atau proses partisipasi</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berkaitan dengan mekanisme pelaporan menagtur penetapan peserta forum penyampaian hasil atau proses partisipasi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Cukup disampaikan secara lisan saja</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3</w:t>
            </w:r>
          </w:p>
        </w:tc>
      </w:tr>
      <w:tr w:rsidR="003A733C" w:rsidRPr="003A733C" w:rsidTr="003A733C">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DId4</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Penetapan peserta forum penyampaian hasil atau proses partisipasi</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mengenai mekanisme pelaporan mengatur penetapan peserta forum penyampaian hasil atau proses partisipasi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Seperti itu, disampaikan secara lisan saja </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3</w:t>
            </w:r>
          </w:p>
        </w:tc>
      </w:tr>
      <w:tr w:rsidR="003A733C" w:rsidRPr="003A733C" w:rsidTr="003A733C">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DId5</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Mekanisme penyampaian masukan dari peserta forum</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mekanisme pelaporan mengatur mekanisme penyampaian masukan dari peserta forum</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Tetap ada penyampaian hasil tapi secara lisan saja ke masyarakat adat</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3</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255"/>
        </w:trPr>
        <w:tc>
          <w:tcPr>
            <w:tcW w:w="4202"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Isu dalam PGA REDD+</w:t>
            </w: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76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DIIa1</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Kehutanan</w:t>
            </w:r>
          </w:p>
        </w:tc>
        <w:tc>
          <w:tcPr>
            <w:tcW w:w="1574"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068"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000000" w:fill="FFFF00"/>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25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LSM</w:t>
            </w:r>
          </w:p>
        </w:tc>
        <w:tc>
          <w:tcPr>
            <w:tcW w:w="1574"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068"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2913" w:type="dxa"/>
            <w:gridSpan w:val="2"/>
            <w:tcBorders>
              <w:top w:val="single" w:sz="4" w:space="0" w:color="auto"/>
              <w:left w:val="single" w:sz="4" w:space="0" w:color="auto"/>
              <w:bottom w:val="single" w:sz="4" w:space="0" w:color="auto"/>
              <w:right w:val="single" w:sz="4" w:space="0" w:color="000000"/>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xml:space="preserve">              Tidak ada LSM di Kabupaten Sarmi</w:t>
            </w:r>
          </w:p>
        </w:tc>
      </w:tr>
      <w:tr w:rsidR="003A733C" w:rsidRPr="003A733C" w:rsidTr="003A733C">
        <w:trPr>
          <w:trHeight w:val="1500"/>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068" w:type="dxa"/>
            <w:tcBorders>
              <w:top w:val="nil"/>
              <w:left w:val="nil"/>
              <w:bottom w:val="single" w:sz="4" w:space="0" w:color="auto"/>
              <w:right w:val="single" w:sz="4" w:space="0" w:color="auto"/>
            </w:tcBorders>
            <w:shd w:val="clear" w:color="000000" w:fill="000000"/>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Pengurus masyarakat adat memperjuangkan hak dalam pengelolaan hutan terutama dalam kasawan hak hutan ulayat.</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3</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630"/>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lastRenderedPageBreak/>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6683" w:type="dxa"/>
            <w:gridSpan w:val="5"/>
            <w:tcBorders>
              <w:top w:val="nil"/>
              <w:left w:val="nil"/>
              <w:bottom w:val="single" w:sz="4" w:space="0" w:color="auto"/>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Pelaksanaan aturan</w:t>
            </w: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DIIb1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jumlah aturan internal yang mengatur penunjukan tata guna lahan dan pengaturan zonasi hutan secara tradisional di lokasi assesmen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Terkait dengan pengetahuan atau kepemilikian dan kawasan yang masuk atau merupakan hak milik ulayat masyarakat adat dan tidak ada bukti tertulis hanya sebagai batas wilayah saja misalnya berupa bukit atau sungai</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DIIb2</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Aturan Tertulis/Tidak Tertulis</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Aturan dalam bentuk tertulis atau tidak tertulis?</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aturan dalam bentuk tertulis atau tidak tertulis</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Aturan yang dipakai oleh lembaga adat hanya berupa lisan saja yang sudah diketahui oleh masyarakat secara turun-temurun </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DIIb3</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aturan secara jelas yang mengatur hal-hal yang diperbolehkan atau tidak diperbolehkan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Aturan jelas dan dapat dilaksanakan dengan patokan riwayat kepemilikan ulayat yang jelas, namun hanya sebatas pengetahuan secara lisan</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3</w:t>
            </w:r>
          </w:p>
        </w:tc>
      </w:tr>
      <w:tr w:rsidR="003A733C" w:rsidRPr="003A733C" w:rsidTr="003A733C">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DIIb4</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Bentuk sanksi terhadap pelanggaran aturan</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sanksi terhadap pelanggaran aturan terkait penunjukan tata guna lahan dan pengaturan zonasi hutan secara tradisional</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Sanksi yang diterapkan berupa kompensasi dengan denda uang yang disepakati oleh masyarakat adat, atau berupa penggantian dengan acara adat berupa potong babi</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255"/>
        </w:trPr>
        <w:tc>
          <w:tcPr>
            <w:tcW w:w="4202"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Isu dalam PGA REDD+</w:t>
            </w: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lastRenderedPageBreak/>
              <w:t>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3770"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Anggota/Pengurus-isu keterwakilan perempuan</w:t>
            </w:r>
          </w:p>
        </w:tc>
        <w:tc>
          <w:tcPr>
            <w:tcW w:w="1531"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DIIIa1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Pertimbangan yang digunakan memilih wakil (keahlian, keterwakilan gender)</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pertimbangan yang digunakan dalam memilih wakil (keahlian, keterwakilan gender) masyarakat adat/lokal pada lembaga multi stakeholder</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pertimbangan yang jelas tetap diwakili oleh kepala kampung atau pengurus masyarakat adat yang dituakan</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141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DIIIa2</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Mekanisme pemilihan wakil</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mekanisme pemilihan wakil pada lembaga multi stakeholder</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Tetap diwakili oleh Kepala kampung dalam setiap pertemuan</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133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DIIIa3</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Forum pemilihan wakil</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forum pemilihan wakil dalam lembaga multi stakeholder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forum pemilihan wakil dalam lembaga multi stakeholder</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Kurang memadai karena terkait juga dengan pengetahuan yang akan disampaikan dalam forum, itupun kalau ada pertemuan </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300"/>
        </w:trPr>
        <w:tc>
          <w:tcPr>
            <w:tcW w:w="4202"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Isu dalam PGA REDD+</w:t>
            </w: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91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24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DIVa1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jumlah inisiatif dan kemitraan yang membangun model-model pengelolaan hutan yang berkelanjutan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belum ada informasi yang berkaitan dengan model pengelolaan hutan yang berkelanjutan, masyarakat hanya mengelola lahan hutan untuk kebun kacang atau talas dan ubi jalar.</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390"/>
        </w:trPr>
        <w:tc>
          <w:tcPr>
            <w:tcW w:w="4202"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lastRenderedPageBreak/>
              <w:t>Isu dalam PGA REDD+</w:t>
            </w: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73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2702"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Organisasi Masyarakat  Adat/Lokal  </w:t>
            </w:r>
          </w:p>
        </w:tc>
        <w:tc>
          <w:tcPr>
            <w:tcW w:w="1068"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531"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262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DVa1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Jumlah pengaduan</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tidak ada dokumen terkait Jumlah organisasi masyarakat adat yang melakukan pengawasan berupa pengaduan terkait pelaksa-naan kehutanan oleh pemerintah, bisnis dan pihak-pihak non pemerin-tah </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Pengaduan masyarakat adat hanya secara lisan apabila ada perbedaan dalam pembagian hasil hutan oleh perusahaan yang mengelola hak ulayat atau ada marga lain yang mengklaim menjadi miliknya</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DVa2</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selama ini tidak ada dokumen terkait pengaduan yang mencakup isu korupsi dan kejahatan, perencanaan, hak dan pengelolaan hutan dan lahan gambut</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Pengaduan lebih pada hak hasil bagi dari pengelolaan hutan yang dilakukan oleh perusahaan atau perorangan yang mengelola hutan adat</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DVa3</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SOP monitoring</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SOP monitoring pelaksanaan kehutanan oleh pemerintah, bisnis dan pihak-pihak non pemerintah</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pernah ada koordinasi yang kami ketahui terkait SOP monitoring pelaksanaan kehutanan oleh pemerintah dan yang berkepentingan dalam kehutanan</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DVa4</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Staf yang khusus ditugaskan melakukan pengawasan</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staf yang khusus ditugaskan melakukan pengawasan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yang terkait mengenai staf yang khusus ditugaskan melakukan pengawasan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staf LMA yang ditugaskan melakukan pengawasan berkaitan dengan kehutanan</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67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660"/>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lastRenderedPageBreak/>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3770"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Organisasi Masyarakat  Adat/Lokal  (Pelaksanaan Aturan)</w:t>
            </w:r>
          </w:p>
        </w:tc>
        <w:tc>
          <w:tcPr>
            <w:tcW w:w="1531"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DVb1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Aturan Tertulis/Tidak Tertulis</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aturan (kegiatan pemanfaatan hutan) dalam bentuk tertulis atau tidak tertulis</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Belum ada aturan yang tertulis yang disepakati dalam pemanfaatan hutan atau lahan. </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DVb2</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aturan secara jelas mengatur hal-hal yang diperbolehkan dan tidak diperbolehkan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jelas aturannya hanya kesepakatan saja diantara pemilik hak hutan ulayat yang ada di Sarmi</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294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DVb3</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Bentuk sanksi terhadap pelanggaran aturan</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bentuk sanksi terhadap pelanggaran aturan terkait penunjukan tata guna lahan dan pengaturan zonasi hutan secara tradisional</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Sanksi kurang karena hanya masyarakat adat yang merasa memiliki tanah ulayat yang mengetahui atau mengatur peruntukkannya terkait tata guna lahan dan zonasi. Mesti dilakukan pertemuan dengan beberapa masyarakat adat lainnya.</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2</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255"/>
        </w:trPr>
        <w:tc>
          <w:tcPr>
            <w:tcW w:w="4202" w:type="dxa"/>
            <w:gridSpan w:val="3"/>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Isu dalam PGA REDD+</w:t>
            </w:r>
          </w:p>
        </w:tc>
        <w:tc>
          <w:tcPr>
            <w:tcW w:w="5301" w:type="dxa"/>
            <w:gridSpan w:val="4"/>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5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6683" w:type="dxa"/>
            <w:gridSpan w:val="5"/>
            <w:tcBorders>
              <w:top w:val="nil"/>
              <w:left w:val="nil"/>
              <w:bottom w:val="single" w:sz="4" w:space="0" w:color="auto"/>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DVIa1</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Kehadiran</w:t>
            </w:r>
          </w:p>
        </w:tc>
        <w:tc>
          <w:tcPr>
            <w:tcW w:w="1607"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Apakah kehadiran masyarakat adat/ lokal dalam satuan tugas REDD+  yang dibentuk oleh Pemerintah Pusat &amp; Daerah </w:t>
            </w:r>
            <w:r w:rsidRPr="003A733C">
              <w:rPr>
                <w:rFonts w:ascii="Times New Roman" w:eastAsia="Times New Roman" w:hAnsi="Times New Roman" w:cs="Times New Roman"/>
                <w:color w:val="000000"/>
                <w:sz w:val="20"/>
                <w:szCs w:val="20"/>
                <w:lang w:eastAsia="id-ID"/>
              </w:rPr>
              <w:lastRenderedPageBreak/>
              <w:t>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Kehutanan</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tidak ada informasi maupun dokumen terkait kehadiran masyarakata adat/lokal dalam satuan tugas REDD+, karena </w:t>
            </w:r>
            <w:r w:rsidRPr="003A733C">
              <w:rPr>
                <w:rFonts w:ascii="Times New Roman" w:eastAsia="Times New Roman" w:hAnsi="Times New Roman" w:cs="Times New Roman"/>
                <w:color w:val="000000"/>
                <w:sz w:val="20"/>
                <w:szCs w:val="20"/>
                <w:lang w:eastAsia="id-ID"/>
              </w:rPr>
              <w:lastRenderedPageBreak/>
              <w:t>memang belum ada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 Tidak ada Plihan dalam kategori data karena Tidak ada REDD+ yang dibentuk di sarmi</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615"/>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Satgas REDD+</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Satgas REDD+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DVIa2</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Bentuk peran</w:t>
            </w:r>
          </w:p>
        </w:tc>
        <w:tc>
          <w:tcPr>
            <w:tcW w:w="1607"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Kehutanan</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 Tidak ada Plihan dalam kategori data karena Tidak ada REDD+</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480"/>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Satgas REDD+</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Satgas REDD+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102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DVIa3</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Besaran pengaruh</w:t>
            </w:r>
          </w:p>
        </w:tc>
        <w:tc>
          <w:tcPr>
            <w:tcW w:w="1607" w:type="dxa"/>
            <w:vMerge w:val="restart"/>
            <w:tcBorders>
              <w:top w:val="nil"/>
              <w:left w:val="single" w:sz="4" w:space="0" w:color="auto"/>
              <w:bottom w:val="single" w:sz="4" w:space="0" w:color="000000"/>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Kehutanan</w:t>
            </w:r>
          </w:p>
        </w:tc>
        <w:tc>
          <w:tcPr>
            <w:tcW w:w="1574" w:type="dxa"/>
            <w:tcBorders>
              <w:top w:val="nil"/>
              <w:left w:val="nil"/>
              <w:bottom w:val="nil"/>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nil"/>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Catatan</w:t>
            </w:r>
            <w:r w:rsidRPr="003A733C">
              <w:rPr>
                <w:rFonts w:ascii="Times New Roman" w:eastAsia="Times New Roman" w:hAnsi="Times New Roman" w:cs="Times New Roman"/>
                <w:color w:val="000000"/>
                <w:sz w:val="20"/>
                <w:szCs w:val="20"/>
                <w:lang w:eastAsia="id-ID"/>
              </w:rPr>
              <w:t xml:space="preserve"> : Tidak ada Plihan dalam kategori data karena Tidak ada REDD+</w:t>
            </w:r>
          </w:p>
        </w:tc>
        <w:tc>
          <w:tcPr>
            <w:tcW w:w="1382" w:type="dxa"/>
            <w:tcBorders>
              <w:top w:val="nil"/>
              <w:left w:val="single" w:sz="4" w:space="0" w:color="auto"/>
              <w:bottom w:val="nil"/>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600"/>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Satgas REDD+</w:t>
            </w:r>
          </w:p>
        </w:tc>
        <w:tc>
          <w:tcPr>
            <w:tcW w:w="1574" w:type="dxa"/>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Satgas REDD+ di Kabupaten Sarmi</w:t>
            </w:r>
          </w:p>
        </w:tc>
        <w:tc>
          <w:tcPr>
            <w:tcW w:w="1382" w:type="dxa"/>
            <w:tcBorders>
              <w:top w:val="single" w:sz="4" w:space="0" w:color="auto"/>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1245"/>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Catatan : Informan tidak memilih dalam kategori data karena tidak mengetahui tentang Satgas REDD+, apalagi di Kabupaten </w:t>
            </w:r>
            <w:r w:rsidRPr="003A733C">
              <w:rPr>
                <w:rFonts w:ascii="Times New Roman" w:eastAsia="Times New Roman" w:hAnsi="Times New Roman" w:cs="Times New Roman"/>
                <w:color w:val="000000"/>
                <w:sz w:val="20"/>
                <w:szCs w:val="20"/>
                <w:lang w:eastAsia="id-ID"/>
              </w:rPr>
              <w:lastRenderedPageBreak/>
              <w:t>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lastRenderedPageBreak/>
              <w:t> </w:t>
            </w:r>
          </w:p>
        </w:tc>
      </w:tr>
      <w:tr w:rsidR="003A733C" w:rsidRPr="003A733C" w:rsidTr="003A733C">
        <w:trPr>
          <w:trHeight w:val="390"/>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64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3A733C" w:rsidRPr="003A733C" w:rsidTr="003A733C">
        <w:trPr>
          <w:trHeight w:val="360"/>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6683" w:type="dxa"/>
            <w:gridSpan w:val="5"/>
            <w:tcBorders>
              <w:top w:val="nil"/>
              <w:left w:val="nil"/>
              <w:bottom w:val="single" w:sz="4" w:space="0" w:color="auto"/>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Organisasi Masyarakat Adat/Lokal (Pengurus)</w:t>
            </w: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DVIb1</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3A733C">
              <w:rPr>
                <w:rFonts w:ascii="Times New Roman" w:eastAsia="Times New Roman" w:hAnsi="Times New Roman" w:cs="Times New Roman"/>
                <w:i/>
                <w:iCs/>
                <w:color w:val="000000"/>
                <w:sz w:val="20"/>
                <w:szCs w:val="20"/>
                <w:lang w:eastAsia="id-ID"/>
              </w:rPr>
              <w:t>project development design</w:t>
            </w:r>
            <w:r w:rsidRPr="003A733C">
              <w:rPr>
                <w:rFonts w:ascii="Times New Roman" w:eastAsia="Times New Roman" w:hAnsi="Times New Roman" w:cs="Times New Roman"/>
                <w:color w:val="000000"/>
                <w:sz w:val="20"/>
                <w:szCs w:val="20"/>
                <w:lang w:eastAsia="id-ID"/>
              </w:rPr>
              <w:t xml:space="preserve"> REDD+ sudah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DVIb2</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Sertifikat/Bukti Keikutsertaan pelatihan project development design (PDD)</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3A733C">
              <w:rPr>
                <w:rFonts w:ascii="Times New Roman" w:eastAsia="Times New Roman" w:hAnsi="Times New Roman" w:cs="Times New Roman"/>
                <w:i/>
                <w:iCs/>
                <w:color w:val="000000"/>
                <w:sz w:val="20"/>
                <w:szCs w:val="20"/>
                <w:lang w:eastAsia="id-ID"/>
              </w:rPr>
              <w:t xml:space="preserve">project development design </w:t>
            </w:r>
            <w:r w:rsidRPr="003A733C">
              <w:rPr>
                <w:rFonts w:ascii="Times New Roman" w:eastAsia="Times New Roman" w:hAnsi="Times New Roman" w:cs="Times New Roman"/>
                <w:color w:val="000000"/>
                <w:sz w:val="20"/>
                <w:szCs w:val="20"/>
                <w:lang w:eastAsia="id-ID"/>
              </w:rPr>
              <w:t>(PDD)?</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DVIb3</w:t>
            </w:r>
          </w:p>
        </w:tc>
        <w:tc>
          <w:tcPr>
            <w:tcW w:w="1456"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Pengalaman kerja dalam penyusunan PDD REDD+ </w:t>
            </w:r>
          </w:p>
        </w:tc>
        <w:tc>
          <w:tcPr>
            <w:tcW w:w="1607"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berkaitan dengan adanya REDD+ di sarmi</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Catatan : Informan tidak memilih dalam kategori data karena tidak mengetahui tentang Satgas REDD+, apalagi di Kabupaten Sarmi belum ada Satgas REDD+</w:t>
            </w:r>
          </w:p>
        </w:tc>
        <w:tc>
          <w:tcPr>
            <w:tcW w:w="1382" w:type="dxa"/>
            <w:tcBorders>
              <w:top w:val="nil"/>
              <w:left w:val="nil"/>
              <w:bottom w:val="single" w:sz="4" w:space="0" w:color="auto"/>
              <w:right w:val="single" w:sz="4" w:space="0" w:color="auto"/>
            </w:tcBorders>
            <w:shd w:val="clear" w:color="000000" w:fill="FFFF00"/>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w:t>
            </w:r>
          </w:p>
        </w:tc>
      </w:tr>
      <w:tr w:rsidR="003A733C" w:rsidRPr="003A733C" w:rsidTr="003A733C">
        <w:trPr>
          <w:trHeight w:val="25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607"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74"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068" w:type="dxa"/>
            <w:tcBorders>
              <w:top w:val="nil"/>
              <w:left w:val="nil"/>
              <w:bottom w:val="nil"/>
              <w:right w:val="nil"/>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p>
        </w:tc>
      </w:tr>
      <w:tr w:rsidR="003A733C" w:rsidRPr="003A733C" w:rsidTr="003A733C">
        <w:trPr>
          <w:trHeight w:val="585"/>
        </w:trPr>
        <w:tc>
          <w:tcPr>
            <w:tcW w:w="1139"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Indikator</w:t>
            </w:r>
          </w:p>
        </w:tc>
        <w:tc>
          <w:tcPr>
            <w:tcW w:w="1456"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6683" w:type="dxa"/>
            <w:gridSpan w:val="5"/>
            <w:tcBorders>
              <w:top w:val="nil"/>
              <w:left w:val="nil"/>
              <w:bottom w:val="nil"/>
              <w:right w:val="nil"/>
            </w:tcBorders>
            <w:shd w:val="clear" w:color="auto" w:fill="auto"/>
            <w:hideMark/>
          </w:tcPr>
          <w:p w:rsidR="003A733C" w:rsidRPr="003A733C" w:rsidRDefault="003A733C" w:rsidP="003A733C">
            <w:pPr>
              <w:spacing w:after="24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3A733C" w:rsidRPr="003A733C" w:rsidTr="003A733C">
        <w:trPr>
          <w:trHeight w:val="255"/>
        </w:trPr>
        <w:tc>
          <w:tcPr>
            <w:tcW w:w="2595" w:type="dxa"/>
            <w:gridSpan w:val="2"/>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Wawancara - Sumber informasi</w:t>
            </w:r>
          </w:p>
        </w:tc>
        <w:tc>
          <w:tcPr>
            <w:tcW w:w="1607" w:type="dxa"/>
            <w:tcBorders>
              <w:top w:val="nil"/>
              <w:left w:val="nil"/>
              <w:bottom w:val="nil"/>
              <w:right w:val="nil"/>
            </w:tcBorders>
            <w:shd w:val="clear" w:color="auto" w:fill="auto"/>
            <w:noWrap/>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p>
        </w:tc>
        <w:tc>
          <w:tcPr>
            <w:tcW w:w="6683" w:type="dxa"/>
            <w:gridSpan w:val="5"/>
            <w:tcBorders>
              <w:top w:val="nil"/>
              <w:left w:val="nil"/>
              <w:bottom w:val="single" w:sz="4" w:space="0" w:color="auto"/>
              <w:right w:val="nil"/>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 Organisasi Masyarakat Adat/Lokal, Satgas REDD+</w:t>
            </w:r>
          </w:p>
        </w:tc>
      </w:tr>
      <w:tr w:rsidR="003A733C" w:rsidRPr="003A733C" w:rsidTr="003A733C">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lastRenderedPageBreak/>
              <w:t>Kode</w:t>
            </w:r>
          </w:p>
        </w:tc>
        <w:tc>
          <w:tcPr>
            <w:tcW w:w="1456"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Panduan Analisis Dokumen</w:t>
            </w:r>
          </w:p>
        </w:tc>
        <w:tc>
          <w:tcPr>
            <w:tcW w:w="1607" w:type="dxa"/>
            <w:tcBorders>
              <w:top w:val="single" w:sz="4" w:space="0" w:color="auto"/>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Sumber Data</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Dokumen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Dokumen</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b/>
                <w:bCs/>
                <w:color w:val="000000"/>
                <w:sz w:val="20"/>
                <w:szCs w:val="20"/>
                <w:lang w:eastAsia="id-ID"/>
              </w:rPr>
            </w:pPr>
            <w:r w:rsidRPr="003A733C">
              <w:rPr>
                <w:rFonts w:ascii="Times New Roman" w:eastAsia="Times New Roman" w:hAnsi="Times New Roman" w:cs="Times New Roman"/>
                <w:b/>
                <w:bCs/>
                <w:color w:val="000000"/>
                <w:sz w:val="20"/>
                <w:szCs w:val="20"/>
                <w:lang w:eastAsia="id-ID"/>
              </w:rPr>
              <w:t>Kategori Data Wawancara</w:t>
            </w:r>
          </w:p>
        </w:tc>
      </w:tr>
      <w:tr w:rsidR="003A733C" w:rsidRPr="003A733C" w:rsidTr="003A733C">
        <w:trPr>
          <w:trHeight w:val="64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DVIc1</w:t>
            </w:r>
          </w:p>
        </w:tc>
        <w:tc>
          <w:tcPr>
            <w:tcW w:w="1456"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Satgas REDD+</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Satgas REDD+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1635"/>
        </w:trPr>
        <w:tc>
          <w:tcPr>
            <w:tcW w:w="1139"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jumlah organisasi masyarakat adat/lokal dalam melakukan pemantauan pelaksanaan prinsip-prinsip dan mekanisme FPIC</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yang melakukan pemantauan terkait mekanisme FPIC</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DVIc2</w:t>
            </w:r>
          </w:p>
        </w:tc>
        <w:tc>
          <w:tcPr>
            <w:tcW w:w="1456"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Prosedur Pemantauan</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Prosedur Pemantauan sudah memadai?</w:t>
            </w: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Satgas REDD+</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Satgas REDD+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765"/>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prosedur pemantauan</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kode atau prosedur dalam melakukan pemantauan terkait FPIC</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DVIc3</w:t>
            </w:r>
          </w:p>
        </w:tc>
        <w:tc>
          <w:tcPr>
            <w:tcW w:w="1456"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 xml:space="preserve">Kode etik </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Kode etik pemantauan sudah memadai?</w:t>
            </w: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Satgas REDD+</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Satgas REDD+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765"/>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kode etik</w:t>
            </w:r>
          </w:p>
        </w:tc>
        <w:tc>
          <w:tcPr>
            <w:tcW w:w="106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kode etik kaitannya dengan pemantauan dan mekanisme FPIC</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r w:rsidR="003A733C" w:rsidRPr="003A733C" w:rsidTr="003A733C">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DVIc4</w:t>
            </w:r>
          </w:p>
        </w:tc>
        <w:tc>
          <w:tcPr>
            <w:tcW w:w="1456"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Mekanisme pemantauan</w:t>
            </w:r>
          </w:p>
        </w:tc>
        <w:tc>
          <w:tcPr>
            <w:tcW w:w="1607" w:type="dxa"/>
            <w:vMerge w:val="restart"/>
            <w:tcBorders>
              <w:top w:val="nil"/>
              <w:left w:val="single" w:sz="4" w:space="0" w:color="auto"/>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Apakah Mekanisme pemantauan sudah memadai?</w:t>
            </w:r>
          </w:p>
        </w:tc>
        <w:tc>
          <w:tcPr>
            <w:tcW w:w="1128"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jc w:val="center"/>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Satgas REDD+</w:t>
            </w:r>
          </w:p>
        </w:tc>
        <w:tc>
          <w:tcPr>
            <w:tcW w:w="1574" w:type="dxa"/>
            <w:tcBorders>
              <w:top w:val="nil"/>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c>
          <w:tcPr>
            <w:tcW w:w="2599" w:type="dxa"/>
            <w:gridSpan w:val="2"/>
            <w:tcBorders>
              <w:top w:val="single" w:sz="4" w:space="0" w:color="auto"/>
              <w:left w:val="nil"/>
              <w:bottom w:val="single" w:sz="4" w:space="0" w:color="auto"/>
              <w:right w:val="nil"/>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Tidak ada Satgas REDD+ di Kabupaten Sarmi</w:t>
            </w:r>
          </w:p>
        </w:tc>
        <w:tc>
          <w:tcPr>
            <w:tcW w:w="1382" w:type="dxa"/>
            <w:tcBorders>
              <w:top w:val="nil"/>
              <w:left w:val="nil"/>
              <w:bottom w:val="single" w:sz="4" w:space="0" w:color="auto"/>
              <w:right w:val="single" w:sz="4" w:space="0" w:color="auto"/>
            </w:tcBorders>
            <w:shd w:val="clear" w:color="000000" w:fill="F2DDDC"/>
            <w:noWrap/>
            <w:hideMark/>
          </w:tcPr>
          <w:p w:rsidR="003A733C" w:rsidRPr="003A733C" w:rsidRDefault="003A733C" w:rsidP="003A733C">
            <w:pPr>
              <w:spacing w:after="0" w:line="240" w:lineRule="auto"/>
              <w:rPr>
                <w:rFonts w:ascii="Times New Roman" w:eastAsia="Times New Roman" w:hAnsi="Times New Roman" w:cs="Times New Roman"/>
                <w:sz w:val="20"/>
                <w:szCs w:val="20"/>
                <w:lang w:eastAsia="id-ID"/>
              </w:rPr>
            </w:pPr>
            <w:r w:rsidRPr="003A733C">
              <w:rPr>
                <w:rFonts w:ascii="Times New Roman" w:eastAsia="Times New Roman" w:hAnsi="Times New Roman" w:cs="Times New Roman"/>
                <w:sz w:val="20"/>
                <w:szCs w:val="20"/>
                <w:lang w:eastAsia="id-ID"/>
              </w:rPr>
              <w:t> </w:t>
            </w:r>
          </w:p>
        </w:tc>
      </w:tr>
      <w:tr w:rsidR="003A733C" w:rsidRPr="003A733C" w:rsidTr="003A733C">
        <w:trPr>
          <w:trHeight w:val="765"/>
        </w:trPr>
        <w:tc>
          <w:tcPr>
            <w:tcW w:w="1139" w:type="dxa"/>
            <w:vMerge/>
            <w:tcBorders>
              <w:top w:val="nil"/>
              <w:left w:val="single" w:sz="4" w:space="0" w:color="auto"/>
              <w:bottom w:val="single" w:sz="4" w:space="0" w:color="000000"/>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607" w:type="dxa"/>
            <w:vMerge/>
            <w:tcBorders>
              <w:top w:val="nil"/>
              <w:left w:val="single" w:sz="4" w:space="0" w:color="auto"/>
              <w:bottom w:val="single" w:sz="4" w:space="0" w:color="auto"/>
              <w:right w:val="single" w:sz="4" w:space="0" w:color="auto"/>
            </w:tcBorders>
            <w:vAlign w:val="center"/>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Organisasi Masyarakat Adat Lokal</w:t>
            </w:r>
          </w:p>
        </w:tc>
        <w:tc>
          <w:tcPr>
            <w:tcW w:w="1574"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dokumen terkait mekanisme pemantauan</w:t>
            </w:r>
          </w:p>
        </w:tc>
        <w:tc>
          <w:tcPr>
            <w:tcW w:w="1068"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c>
          <w:tcPr>
            <w:tcW w:w="1531" w:type="dxa"/>
            <w:tcBorders>
              <w:top w:val="nil"/>
              <w:left w:val="nil"/>
              <w:bottom w:val="single" w:sz="4" w:space="0" w:color="auto"/>
              <w:right w:val="single" w:sz="4" w:space="0" w:color="auto"/>
            </w:tcBorders>
            <w:shd w:val="clear" w:color="auto" w:fill="auto"/>
            <w:hideMark/>
          </w:tcPr>
          <w:p w:rsidR="003A733C" w:rsidRPr="003A733C" w:rsidRDefault="003A733C" w:rsidP="003A733C">
            <w:pPr>
              <w:spacing w:after="0" w:line="240" w:lineRule="auto"/>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Tidak ada yang mekanisme yang melakukan pemantauan dan mekanisme FPIC</w:t>
            </w:r>
          </w:p>
        </w:tc>
        <w:tc>
          <w:tcPr>
            <w:tcW w:w="1382" w:type="dxa"/>
            <w:tcBorders>
              <w:top w:val="nil"/>
              <w:left w:val="nil"/>
              <w:bottom w:val="single" w:sz="4" w:space="0" w:color="auto"/>
              <w:right w:val="single" w:sz="4" w:space="0" w:color="auto"/>
            </w:tcBorders>
            <w:shd w:val="clear" w:color="auto" w:fill="auto"/>
            <w:noWrap/>
            <w:hideMark/>
          </w:tcPr>
          <w:p w:rsidR="003A733C" w:rsidRPr="003A733C" w:rsidRDefault="003A733C" w:rsidP="003A733C">
            <w:pPr>
              <w:spacing w:after="0" w:line="240" w:lineRule="auto"/>
              <w:jc w:val="center"/>
              <w:rPr>
                <w:rFonts w:ascii="Times New Roman" w:eastAsia="Times New Roman" w:hAnsi="Times New Roman" w:cs="Times New Roman"/>
                <w:color w:val="000000"/>
                <w:sz w:val="20"/>
                <w:szCs w:val="20"/>
                <w:lang w:eastAsia="id-ID"/>
              </w:rPr>
            </w:pPr>
            <w:r w:rsidRPr="003A733C">
              <w:rPr>
                <w:rFonts w:ascii="Times New Roman" w:eastAsia="Times New Roman" w:hAnsi="Times New Roman" w:cs="Times New Roman"/>
                <w:color w:val="000000"/>
                <w:sz w:val="20"/>
                <w:szCs w:val="20"/>
                <w:lang w:eastAsia="id-ID"/>
              </w:rPr>
              <w:t>1</w:t>
            </w:r>
          </w:p>
        </w:tc>
      </w:tr>
    </w:tbl>
    <w:p w:rsidR="003A733C" w:rsidRDefault="003A733C"/>
    <w:sectPr w:rsidR="003A733C"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3A733C"/>
    <w:rsid w:val="004165D1"/>
    <w:rsid w:val="00432DCD"/>
    <w:rsid w:val="004570C7"/>
    <w:rsid w:val="005D2D3D"/>
    <w:rsid w:val="006E5970"/>
    <w:rsid w:val="007E5477"/>
    <w:rsid w:val="009F3E98"/>
    <w:rsid w:val="00A91768"/>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font7">
    <w:name w:val="font7"/>
    <w:basedOn w:val="Normal"/>
    <w:rsid w:val="003A733C"/>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28172066">
      <w:bodyDiv w:val="1"/>
      <w:marLeft w:val="0"/>
      <w:marRight w:val="0"/>
      <w:marTop w:val="0"/>
      <w:marBottom w:val="0"/>
      <w:divBdr>
        <w:top w:val="none" w:sz="0" w:space="0" w:color="auto"/>
        <w:left w:val="none" w:sz="0" w:space="0" w:color="auto"/>
        <w:bottom w:val="none" w:sz="0" w:space="0" w:color="auto"/>
        <w:right w:val="none" w:sz="0" w:space="0" w:color="auto"/>
      </w:divBdr>
    </w:div>
    <w:div w:id="1262640097">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3648</Words>
  <Characters>20798</Characters>
  <Application>Microsoft Office Word</Application>
  <DocSecurity>0</DocSecurity>
  <Lines>173</Lines>
  <Paragraphs>48</Paragraphs>
  <ScaleCrop>false</ScaleCrop>
  <Company/>
  <LinksUpToDate>false</LinksUpToDate>
  <CharactersWithSpaces>24398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2012-10-16T07:53:00Z</dcterms:modified>
</cp:coreProperties>
</file>